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6.jpg" ContentType="image/jpeg"/>
  <Override PartName="/word/media/rId100.jpg" ContentType="image/jpeg"/>
  <Override PartName="/word/media/rId104.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87.jpg" ContentType="image/jpeg"/>
  <Override PartName="/word/media/rId91.jpg" ContentType="image/jpeg"/>
  <Override PartName="/word/media/rId23.jpg" ContentType="image/jpeg"/>
  <Override PartName="/word/media/rId32.jpg" ContentType="image/jpeg"/>
  <Override PartName="/word/media/rId28.jpg" ContentType="image/jpeg"/>
  <Override PartName="/word/media/rId109.jpg" ContentType="image/jpeg"/>
  <Override PartName="/word/media/rId113.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7.jpg" ContentType="image/jpeg"/>
  <Override PartName="/word/media/rId141.jpg" ContentType="image/jpeg"/>
  <Override PartName="/word/media/rId145.jpg" ContentType="image/jpeg"/>
  <Override PartName="/word/media/rId149.jpg" ContentType="image/jpeg"/>
  <Override PartName="/word/media/rId153.jpg" ContentType="image/jpeg"/>
  <Override PartName="/word/media/rId11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the Fish and Wildlife Research Institute of the Florida Fish and Wildlife Conservation Commission (Kara Radabaugh, Ryan Moyer), and Gary Raulerson. Preparation of the original Quality Assurance Project Plan and baseline survey design by Lindsay Cross,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sampling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sampling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sampling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Ecosystem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w:t>
      </w:r>
      <w:r>
        <w:t xml:space="preserve"> </w:t>
      </w:r>
      <w:r>
        <w:t xml:space="preserve">(HMP, 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following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w:t>
      </w:r>
      <w:r>
        <w:t xml:space="preserve"> </w:t>
      </w:r>
      <w:r>
        <w:t xml:space="preserve">(Flaherty-Walia, K. E. and Radabaugh, K. R., 2022)</w:t>
      </w:r>
      <w:r>
        <w:t xml:space="preserve">. The habitat ecotone scale evaluated herein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sampling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58"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78ec4a9-3cab-45e4-9480-6c63a82f2ce3"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78ec4a9-3cab-45e4-9480-6c63a82f2ce3"/>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by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95"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unique vegetation zones observed across all sites. A total of 28 vegetation zones were sampled across the nine sites, although inconsistent naming prevented a comparison of similar zones between sites. In general, the unique zones across all sites can be grouped as 1. Brazilian Pepper Berm and</w:t>
      </w:r>
      <w:r>
        <w:t xml:space="preserve"> </w:t>
      </w:r>
      <w:r>
        <w:rPr>
          <w:iCs/>
          <w:i/>
        </w:rPr>
        <w:t xml:space="preserve">Schinus terebinthifolius</w:t>
      </w:r>
      <w:r>
        <w:t xml:space="preserve">; 2. Transitional wetland and transitional marsh; 3. High salt barren, unvegetated salt barren, and salt barren; 4. Short mangrove, mangrove, mangrove fringe, immature mangrove fringe and 5. Open water (channel, freshwater pond, tidal creek, tidal mud flat). The following results retain unique zone names for each site and future sampling should use standardized zone names between sites.</w:t>
      </w:r>
    </w:p>
    <w:p>
      <w:pPr>
        <w:pStyle w:val="BodyText"/>
      </w:pPr>
      <w:r>
        <w:t xml:space="preserve">The lines in Figures</w:t>
      </w:r>
      <w:r>
        <w:t xml:space="preserve"> </w:t>
      </w:r>
      <w:hyperlink w:anchor="fig-rchzoneestbb">
        <w:r>
          <w:rPr>
            <w:rStyle w:val="Hyperlink"/>
          </w:rPr>
          <w:t xml:space="preserve">8</w:t>
        </w:r>
      </w:hyperlink>
      <w:r>
        <w:t xml:space="preserve">,</w:t>
      </w:r>
      <w:r>
        <w:t xml:space="preserve"> </w:t>
      </w:r>
      <w:hyperlink w:anchor="fig-rchzoneestcb">
        <w:r>
          <w:rPr>
            <w:rStyle w:val="Hyperlink"/>
          </w:rPr>
          <w:t xml:space="preserve">9</w:t>
        </w:r>
      </w:hyperlink>
      <w:r>
        <w:t xml:space="preserve">,</w:t>
      </w:r>
      <w:r>
        <w:t xml:space="preserve"> </w:t>
      </w:r>
      <w:hyperlink w:anchor="fig-rchzoneestfd">
        <w:r>
          <w:rPr>
            <w:rStyle w:val="Hyperlink"/>
          </w:rPr>
          <w:t xml:space="preserve">10</w:t>
        </w:r>
      </w:hyperlink>
      <w:r>
        <w:t xml:space="preserve">,</w:t>
      </w:r>
      <w:r>
        <w:t xml:space="preserve"> </w:t>
      </w:r>
      <w:hyperlink w:anchor="fig-rchzoneesthp">
        <w:r>
          <w:rPr>
            <w:rStyle w:val="Hyperlink"/>
          </w:rPr>
          <w:t xml:space="preserve">11</w:t>
        </w:r>
      </w:hyperlink>
      <w:r>
        <w:t xml:space="preserve">,</w:t>
      </w:r>
      <w:r>
        <w:t xml:space="preserve"> </w:t>
      </w:r>
      <w:hyperlink w:anchor="fig-rchzoneesthh">
        <w:r>
          <w:rPr>
            <w:rStyle w:val="Hyperlink"/>
          </w:rPr>
          <w:t xml:space="preserve">12</w:t>
        </w:r>
      </w:hyperlink>
      <w:r>
        <w:t xml:space="preserve">,</w:t>
      </w:r>
      <w:r>
        <w:t xml:space="preserve"> </w:t>
      </w:r>
      <w:hyperlink w:anchor="fig-rchzoneestlmr">
        <w:r>
          <w:rPr>
            <w:rStyle w:val="Hyperlink"/>
          </w:rPr>
          <w:t xml:space="preserve">13</w:t>
        </w:r>
      </w:hyperlink>
      <w:r>
        <w:t xml:space="preserve">,</w:t>
      </w:r>
      <w:r>
        <w:t xml:space="preserve"> </w:t>
      </w:r>
      <w:hyperlink w:anchor="fig-rchzoneestm">
        <w:r>
          <w:rPr>
            <w:rStyle w:val="Hyperlink"/>
          </w:rPr>
          <w:t xml:space="preserve">14</w:t>
        </w:r>
      </w:hyperlink>
      <w:r>
        <w:t xml:space="preserve">,</w:t>
      </w:r>
      <w:r>
        <w:t xml:space="preserve"> </w:t>
      </w:r>
      <w:hyperlink w:anchor="fig-rchzoneestutbp">
        <w:r>
          <w:rPr>
            <w:rStyle w:val="Hyperlink"/>
          </w:rPr>
          <w:t xml:space="preserve">15</w:t>
        </w:r>
      </w:hyperlink>
      <w:r>
        <w:t xml:space="preserve">, and</w:t>
      </w:r>
      <w:r>
        <w:t xml:space="preserve"> </w:t>
      </w:r>
      <w:hyperlink w:anchor="fig-rchzoneestwi">
        <w:r>
          <w:rPr>
            <w:rStyle w:val="Hyperlink"/>
          </w:rPr>
          <w:t xml:space="preserve">16</w:t>
        </w:r>
      </w:hyperlink>
      <w:r>
        <w:t xml:space="preserve"> </w:t>
      </w:r>
      <w:r>
        <w:t xml:space="preserve">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-Teco (23 species,</w:t>
      </w:r>
      <w:r>
        <w:t xml:space="preserve"> </w:t>
      </w:r>
      <w:hyperlink w:anchor="fig-rchzoneestbb">
        <w:r>
          <w:rPr>
            <w:rStyle w:val="Hyperlink"/>
          </w:rPr>
          <w:t xml:space="preserve">Figure 8</w:t>
        </w:r>
      </w:hyperlink>
      <w:r>
        <w:t xml:space="preserve">) and transitional marsh at Cockroach Bay (21 species,</w:t>
      </w:r>
      <w:r>
        <w:t xml:space="preserve"> </w:t>
      </w:r>
      <w:hyperlink w:anchor="fig-rchzoneestcb">
        <w:r>
          <w:rPr>
            <w:rStyle w:val="Hyperlink"/>
          </w:rPr>
          <w:t xml:space="preserve">Figure 9</w:t>
        </w:r>
      </w:hyperlink>
      <w:r>
        <w:t xml:space="preserve">). Consequently, the zones at these sites had large decreases in total richness with reduced effort.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Big Bend - Teco,</w:t>
      </w:r>
      <w:r>
        <w:t xml:space="preserve"> </w:t>
      </w:r>
      <w:hyperlink w:anchor="fig-rchzoneestbb">
        <w:r>
          <w:rPr>
            <w:rStyle w:val="Hyperlink"/>
          </w:rPr>
          <w:t xml:space="preserve">Figure 8</w:t>
        </w:r>
      </w:hyperlink>
      <w:r>
        <w:t xml:space="preserve">, lowest at Cockroach Bay,</w:t>
      </w:r>
      <w:r>
        <w:t xml:space="preserve"> </w:t>
      </w:r>
      <w:hyperlink w:anchor="fig-rchzoneestcb">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58" w:name="fig-rchzoneestbb"/>
          <w:p>
            <w:pPr>
              <w:pStyle w:val="Figure"/>
              <w:jc w:val="center"/>
            </w:pPr>
            <w:r>
              <w:drawing>
                <wp:inline>
                  <wp:extent cx="5943600" cy="2971800"/>
                  <wp:effectExtent b="0" l="0" r="0" t="0"/>
                  <wp:docPr descr="" title="" id="56" name="Picture"/>
                  <a:graphic>
                    <a:graphicData uri="http://schemas.openxmlformats.org/drawingml/2006/picture">
                      <pic:pic>
                        <pic:nvPicPr>
                          <pic:cNvPr descr="../figs/richzone_Big%20Bend%20-%20TECO.jp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zone at Big Bend - Teco. The left plot shows total species richness and the right plot shows relative percent reductions in species richness. Lines are colored by zones.</w:t>
            </w:r>
          </w:p>
          <w:bookmarkEnd w:id="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 w:name="fig-rchzoneestcb"/>
          <w:p>
            <w:pPr>
              <w:pStyle w:val="Figure"/>
              <w:jc w:val="center"/>
            </w:pPr>
            <w:r>
              <w:drawing>
                <wp:inline>
                  <wp:extent cx="5943600" cy="2971800"/>
                  <wp:effectExtent b="0" l="0" r="0" t="0"/>
                  <wp:docPr descr="" title="" id="60" name="Picture"/>
                  <a:graphic>
                    <a:graphicData uri="http://schemas.openxmlformats.org/drawingml/2006/picture">
                      <pic:pic>
                        <pic:nvPicPr>
                          <pic:cNvPr descr="../figs/richzone_Cockroach%20Bay.jp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Species richness estimates by sampling distance for each zone at Cockroach Bay. The left plot shows total species richness and the right plot shows relative percent reductions in species richness. Lines are colored by zones.</w:t>
            </w:r>
          </w:p>
          <w:bookmarkEnd w:id="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chzoneestfd"/>
          <w:p>
            <w:pPr>
              <w:pStyle w:val="Figure"/>
              <w:jc w:val="center"/>
            </w:pPr>
            <w:r>
              <w:drawing>
                <wp:inline>
                  <wp:extent cx="5943600" cy="2971800"/>
                  <wp:effectExtent b="0" l="0" r="0" t="0"/>
                  <wp:docPr descr="" title="" id="64" name="Picture"/>
                  <a:graphic>
                    <a:graphicData uri="http://schemas.openxmlformats.org/drawingml/2006/picture">
                      <pic:pic>
                        <pic:nvPicPr>
                          <pic:cNvPr descr="../figs/richzone_Fort%20DeSoto.jpg" id="65"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Species richness estimates by sampling distance for each zone at Fort DeSoto. The left plot shows total species richness and the right plot shows relative percent reductions in species richness. Lines are colored by zones.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chzoneesthp"/>
          <w:p>
            <w:pPr>
              <w:pStyle w:val="Figure"/>
              <w:jc w:val="center"/>
            </w:pPr>
            <w:r>
              <w:drawing>
                <wp:inline>
                  <wp:extent cx="5943600" cy="2971800"/>
                  <wp:effectExtent b="0" l="0" r="0" t="0"/>
                  <wp:docPr descr="" title="" id="68" name="Picture"/>
                  <a:graphic>
                    <a:graphicData uri="http://schemas.openxmlformats.org/drawingml/2006/picture">
                      <pic:pic>
                        <pic:nvPicPr>
                          <pic:cNvPr descr="../figs/richzone_Harbor%20Palms.jpg" id="69"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Species richness estimates by sampling distance for each zone at Harbor Palms. The left plot shows total species richness and the right plot shows relative percent reductions in species richness. Lines are colored by zones.</w:t>
            </w:r>
          </w:p>
          <w:bookmarkEnd w:id="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chzoneesthh"/>
          <w:p>
            <w:pPr>
              <w:pStyle w:val="Figure"/>
              <w:jc w:val="center"/>
            </w:pPr>
            <w:r>
              <w:drawing>
                <wp:inline>
                  <wp:extent cx="5943600" cy="2971800"/>
                  <wp:effectExtent b="0" l="0" r="0" t="0"/>
                  <wp:docPr descr="" title="" id="72" name="Picture"/>
                  <a:graphic>
                    <a:graphicData uri="http://schemas.openxmlformats.org/drawingml/2006/picture">
                      <pic:pic>
                        <pic:nvPicPr>
                          <pic:cNvPr descr="../figs/richzone_Hidden%20Harbor.jp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Species richness estimates by sampling distance for each zone at Hidden Harbor. The left plot shows total species richness and the right plot shows relative percent reductions in species richness. Lines are colored by zones.</w:t>
            </w:r>
          </w:p>
          <w:bookmarkEnd w:id="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 w:name="fig-rchzoneestlmr"/>
          <w:p>
            <w:pPr>
              <w:pStyle w:val="Figure"/>
              <w:jc w:val="center"/>
            </w:pPr>
            <w:r>
              <w:drawing>
                <wp:inline>
                  <wp:extent cx="5943600" cy="2971800"/>
                  <wp:effectExtent b="0" l="0" r="0" t="0"/>
                  <wp:docPr descr="" title="" id="76" name="Picture"/>
                  <a:graphic>
                    <a:graphicData uri="http://schemas.openxmlformats.org/drawingml/2006/picture">
                      <pic:pic>
                        <pic:nvPicPr>
                          <pic:cNvPr descr="../figs/richzone_Little%20Manatee%20River.jp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Species richness estimates by sampling distance for each zone at Little Manatee River. The left plot shows total species richness and the right plot shows relative percent reductions in species richness. Lines are colored by zones.</w:t>
            </w:r>
          </w:p>
          <w:bookmarkEnd w:id="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 w:name="fig-rchzoneestm"/>
          <w:p>
            <w:pPr>
              <w:pStyle w:val="Figure"/>
              <w:jc w:val="center"/>
            </w:pPr>
            <w:r>
              <w:drawing>
                <wp:inline>
                  <wp:extent cx="5943600" cy="2971800"/>
                  <wp:effectExtent b="0" l="0" r="0" t="0"/>
                  <wp:docPr descr="" title="" id="80" name="Picture"/>
                  <a:graphic>
                    <a:graphicData uri="http://schemas.openxmlformats.org/drawingml/2006/picture">
                      <pic:pic>
                        <pic:nvPicPr>
                          <pic:cNvPr descr="../figs/richzone_Mosaic.jp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Species richness estimates by sampling distance for each zone at Mosaic. The left plot shows total species richness and the right plot shows relative percent reductions in species richness. Lines are colored by zones.</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rchzoneestutbp"/>
          <w:p>
            <w:pPr>
              <w:pStyle w:val="Figure"/>
              <w:jc w:val="center"/>
            </w:pPr>
            <w:r>
              <w:drawing>
                <wp:inline>
                  <wp:extent cx="5943600" cy="2971800"/>
                  <wp:effectExtent b="0" l="0" r="0" t="0"/>
                  <wp:docPr descr="" title="" id="84" name="Picture"/>
                  <a:graphic>
                    <a:graphicData uri="http://schemas.openxmlformats.org/drawingml/2006/picture">
                      <pic:pic>
                        <pic:nvPicPr>
                          <pic:cNvPr descr="../figs/richzone_Upper%20Tampa%20Bay%20Park.jp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Species richness estimates by sampling distance for each zone at Upper Tampa Bay Park. The left plot shows total species richness and the right plot shows relative percent reductions in species richness. Lines are colored by zones.</w:t>
            </w:r>
          </w:p>
          <w:bookmarkEnd w:id="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 w:name="fig-rchzoneestwi"/>
          <w:p>
            <w:pPr>
              <w:pStyle w:val="Figure"/>
              <w:jc w:val="center"/>
            </w:pPr>
            <w:r>
              <w:drawing>
                <wp:inline>
                  <wp:extent cx="5943600" cy="2971800"/>
                  <wp:effectExtent b="0" l="0" r="0" t="0"/>
                  <wp:docPr descr="" title="" id="88" name="Picture"/>
                  <a:graphic>
                    <a:graphicData uri="http://schemas.openxmlformats.org/drawingml/2006/picture">
                      <pic:pic>
                        <pic:nvPicPr>
                          <pic:cNvPr descr="../figs/richzone_Weedon%20Island.jp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Species richness estimates by sampling distance for each zone at Weedon Island. The left plot shows total species richness and the right plot shows relative percent reductions in species richness. Lines are colored by zones.</w:t>
            </w:r>
          </w:p>
          <w:bookmarkEnd w:id="90"/>
        </w:tc>
      </w:tr>
    </w:tbl>
    <w:p>
      <w:pPr>
        <w:pStyle w:val="BodyText"/>
      </w:pPr>
      <w:hyperlink w:anchor="fig-richzoneloss">
        <w:r>
          <w:rPr>
            <w:rStyle w:val="Hyperlink"/>
          </w:rPr>
          <w:t xml:space="preserve">Figure 17</w:t>
        </w:r>
      </w:hyperlink>
      <w:r>
        <w:t xml:space="preserve"> </w:t>
      </w:r>
      <w:r>
        <w:t xml:space="preserve">shows the relationship between percent loss in species richness with actual species richness in the unique zones for each site. There is strong evidence that greater reductions in species richness estimates are expected for zones with higher actual species richness (linear fit was significant,</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94" w:name="fig-richzoneloss"/>
          <w:p>
            <w:pPr>
              <w:pStyle w:val="Figure"/>
              <w:jc w:val="center"/>
            </w:pPr>
            <w:r>
              <w:drawing>
                <wp:inline>
                  <wp:extent cx="5943600" cy="5519057"/>
                  <wp:effectExtent b="0" l="0" r="0" t="0"/>
                  <wp:docPr descr="" title="" id="92" name="Picture"/>
                  <a:graphic>
                    <a:graphicData uri="http://schemas.openxmlformats.org/drawingml/2006/picture">
                      <pic:pic>
                        <pic:nvPicPr>
                          <pic:cNvPr descr="../figs/richzoneloss.jpg" id="93" name="Picture"/>
                          <pic:cNvPicPr>
                            <a:picLocks noChangeArrowheads="1" noChangeAspect="1"/>
                          </pic:cNvPicPr>
                        </pic:nvPicPr>
                        <pic:blipFill>
                          <a:blip r:embed="rId91"/>
                          <a:stretch>
                            <a:fillRect/>
                          </a:stretch>
                        </pic:blipFill>
                        <pic:spPr bwMode="auto">
                          <a:xfrm>
                            <a:off x="0" y="0"/>
                            <a:ext cx="5943600" cy="5519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Total percent loss of richness from half-meter to 10 meter sampling as a function of actual species richness within a zone. Points are colored by site and each point represents a unique zone at a site.</w:t>
            </w:r>
          </w:p>
          <w:bookmarkEnd w:id="94"/>
        </w:tc>
      </w:tr>
    </w:tbl>
    <w:bookmarkEnd w:id="95"/>
    <w:bookmarkStart w:id="108" w:name="elevation-of-key-species"/>
    <w:p>
      <w:pPr>
        <w:pStyle w:val="Heading3"/>
      </w:pPr>
      <w:r>
        <w:t xml:space="preserve">3.3 Elevation of key species</w:t>
      </w:r>
    </w:p>
    <w:p>
      <w:pPr>
        <w:pStyle w:val="FirstParagraph"/>
      </w:pPr>
      <w:r>
        <w:t xml:space="preserve">Elevation estimates from the CDF curves at which 95% of mangrove species were observed with reductions in sampling effort varied by site (</w:t>
      </w:r>
      <w:hyperlink w:anchor="fig-elevex">
        <w:r>
          <w:rPr>
            <w:rStyle w:val="Hyperlink"/>
          </w:rPr>
          <w:t xml:space="preserve">Figure 18</w:t>
        </w:r>
      </w:hyperlink>
      <w:r>
        <w:t xml:space="preserve">). These measures can be considered an approximate upper elevation limit at which mangrove species are observed at each site for each level of sampling effort. Consistent reductions in the elevation estimates with reduced sampling effort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showed a reduction in elevation at Big Bend - Teco). Additionally, the overall elevations at half-meter sampling varied by species at each site, such that red mangroves (which typically are found at lower elevations) were observed at higher elevations (Big Bend, Little Manatee River) or lower elevations (Cockroach Bay, Mosaic, Upper Tampa Bay Park)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99" w:name="fig-elevex"/>
          <w:p>
            <w:pPr>
              <w:pStyle w:val="Figure"/>
              <w:jc w:val="center"/>
            </w:pPr>
            <w:r>
              <w:drawing>
                <wp:inline>
                  <wp:extent cx="5943600" cy="4953000"/>
                  <wp:effectExtent b="0" l="0" r="0" t="0"/>
                  <wp:docPr descr="" title="" id="97" name="Picture"/>
                  <a:graphic>
                    <a:graphicData uri="http://schemas.openxmlformats.org/drawingml/2006/picture">
                      <pic:pic>
                        <pic:nvPicPr>
                          <pic:cNvPr descr="../figs/elevex.jp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Elevation estimates of three mangrove species with sampling distance at each site. Point size shows the variance across the replicates for each level of sampling effort.</w:t>
            </w:r>
          </w:p>
          <w:bookmarkEnd w:id="99"/>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19</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Lower variance among the estimates was observed for species with higher frequency occurrences, although the linear regression was not significant (</w:t>
      </w:r>
      <w:hyperlink w:anchor="fig-fovarelevex">
        <w:r>
          <w:rPr>
            <w:rStyle w:val="Hyperlink"/>
          </w:rPr>
          <w:t xml:space="preserve">Figure 20</w:t>
        </w:r>
      </w:hyperlink>
      <w:r>
        <w:t xml:space="preserve">,</w:t>
      </w:r>
      <w:r>
        <w:t xml:space="preserve"> </w:t>
      </w:r>
      <w:r>
        <w:rPr>
          <w:iCs/>
          <w:i/>
        </w:rPr>
        <w:t xml:space="preserve">p</w:t>
      </w:r>
      <w:r>
        <w:t xml:space="preserve"> </w:t>
      </w:r>
      <w:r>
        <w:t xml:space="preserve">&gt; 0.05).</w:t>
      </w:r>
    </w:p>
    <w:tbl>
      <w:tblPr>
        <w:tblStyle w:val="Table"/>
        <w:tblW w:type="pct" w:w="5000"/>
        <w:tblLook w:firstRow="0" w:lastRow="0" w:firstColumn="0" w:lastColumn="0" w:noHBand="0" w:noVBand="0" w:val="0000"/>
      </w:tblPr>
      <w:tblGrid>
        <w:gridCol w:w="7920"/>
      </w:tblGrid>
      <w:tr>
        <w:tc>
          <w:tcPr/>
          <w:bookmarkStart w:id="103" w:name="fig-foperelevex"/>
          <w:p>
            <w:pPr>
              <w:pStyle w:val="Figure"/>
              <w:jc w:val="center"/>
            </w:pPr>
            <w:r>
              <w:drawing>
                <wp:inline>
                  <wp:extent cx="5943600" cy="5486400"/>
                  <wp:effectExtent b="0" l="0" r="0" t="0"/>
                  <wp:docPr descr="" title="" id="101" name="Picture"/>
                  <a:graphic>
                    <a:graphicData uri="http://schemas.openxmlformats.org/drawingml/2006/picture">
                      <pic:pic>
                        <pic:nvPicPr>
                          <pic:cNvPr descr="../figs/foperelevex.jpg" id="102" name="Picture"/>
                          <pic:cNvPicPr>
                            <a:picLocks noChangeArrowheads="1" noChangeAspect="1"/>
                          </pic:cNvPicPr>
                        </pic:nvPicPr>
                        <pic:blipFill>
                          <a:blip r:embed="rId10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Total percent change in elevation estimates for three mangrove species from half-meter to 10 meter sampling as a function of actual frequency occurrence of each species at half-meter sampling.</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ovarelevex"/>
          <w:p>
            <w:pPr>
              <w:pStyle w:val="Figure"/>
              <w:jc w:val="center"/>
            </w:pPr>
            <w:r>
              <w:drawing>
                <wp:inline>
                  <wp:extent cx="5943600" cy="5486400"/>
                  <wp:effectExtent b="0" l="0" r="0" t="0"/>
                  <wp:docPr descr="" title="" id="105" name="Picture"/>
                  <a:graphic>
                    <a:graphicData uri="http://schemas.openxmlformats.org/drawingml/2006/picture">
                      <pic:pic>
                        <pic:nvPicPr>
                          <pic:cNvPr descr="../figs/fovarelevex.jpg" id="106" name="Picture"/>
                          <pic:cNvPicPr>
                            <a:picLocks noChangeArrowheads="1" noChangeAspect="1"/>
                          </pic:cNvPicPr>
                        </pic:nvPicPr>
                        <pic:blipFill>
                          <a:blip r:embed="rId10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Variance of the elevation esimates of three mangrove species at 10 meter sampling as a function of actual frequency occurrence of each species at half-meter sampling.</w:t>
            </w:r>
          </w:p>
          <w:bookmarkEnd w:id="107"/>
        </w:tc>
      </w:tr>
    </w:tbl>
    <w:bookmarkEnd w:id="108"/>
    <w:bookmarkStart w:id="157"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at least one plot would occur per zone for most intervals of sampling up to sampling every 10 meters (</w:t>
      </w:r>
      <w:hyperlink w:anchor="fig-zonecnt">
        <w:r>
          <w:rPr>
            <w:rStyle w:val="Hyperlink"/>
          </w:rPr>
          <w:t xml:space="preserve">Figure 21</w:t>
        </w:r>
      </w:hyperlink>
      <w:r>
        <w:t xml:space="preserve">). Each zone would include at least one quadrat at any level of sampling effort for Big Bend - TECO, Fort DeSoto, and Harbor Palms, whereas some zones were missed for the other sites depending on the sampling interval. For example, Hidden Harbor includes four zones, with the smallest zone 1 meter in length. An average zone count of less than four occurs when the sampling interval is greater than 1 meter, i.e, 1.5 meters, as that sampling interval excludes a quadrat in the tidal creek zone for some of the replicates. The length of the smallest zone for sites where the average count begins to decrease with reduced effort can be seen at the point where the curve is no longer constant at the true zone count. As such, all zones will include at least one quadrat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112" w:name="fig-zonecnt"/>
          <w:p>
            <w:pPr>
              <w:pStyle w:val="Figure"/>
              <w:jc w:val="center"/>
            </w:pPr>
            <w:r>
              <w:drawing>
                <wp:inline>
                  <wp:extent cx="5943600" cy="5200650"/>
                  <wp:effectExtent b="0" l="0" r="0" t="0"/>
                  <wp:docPr descr="" title="" id="110" name="Picture"/>
                  <a:graphic>
                    <a:graphicData uri="http://schemas.openxmlformats.org/drawingml/2006/picture">
                      <pic:pic>
                        <pic:nvPicPr>
                          <pic:cNvPr descr="../figs/zonecnt.jpg" id="111" name="Picture"/>
                          <pic:cNvPicPr>
                            <a:picLocks noChangeArrowheads="1" noChangeAspect="1"/>
                          </pic:cNvPicPr>
                        </pic:nvPicPr>
                        <pic:blipFill>
                          <a:blip r:embed="rId10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Number of unique zones with at least one quadrat at each site from half-meter to 10 meter sampling. Point size shows the variance across the replicates for each level of sampling effort.</w:t>
            </w:r>
          </w:p>
          <w:bookmarkEnd w:id="112"/>
        </w:tc>
      </w:tr>
    </w:tbl>
    <w:p>
      <w:pPr>
        <w:pStyle w:val="BodyText"/>
      </w:pPr>
      <w:r>
        <w:t xml:space="preserve">Although the zone lengths can be accurately determined in the field using the distances between zone markers, the following shows how length estimates may vary with reduced sampling effort if based on the distances spanned by the quadrats in each zone. Following the latter, estimated lengths of each zone did not change systematically, although the variance of the estimates increased with reduced sampling effort (</w:t>
      </w:r>
      <w:hyperlink w:anchor="fig-zonedst">
        <w:r>
          <w:rPr>
            <w:rStyle w:val="Hyperlink"/>
          </w:rPr>
          <w:t xml:space="preserve">Figure 22</w:t>
        </w:r>
      </w:hyperlink>
      <w:r>
        <w:t xml:space="preserve">). The change in variance was non-linear, such that it generally increased with reduced effort, but often was estimated at low or zero variance depending on the sampling interval. An example from Big Bend - TECO demonstrates how variance of the distance estimates changes across each zone with the sampling effort (</w:t>
      </w:r>
      <w:hyperlink w:anchor="fig-zonevarex">
        <w:r>
          <w:rPr>
            <w:rStyle w:val="Hyperlink"/>
          </w:rPr>
          <w:t xml:space="preserve">Figure 23</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116" w:name="fig-zonedst"/>
          <w:p>
            <w:pPr>
              <w:pStyle w:val="Figure"/>
              <w:jc w:val="center"/>
            </w:pPr>
            <w:r>
              <w:drawing>
                <wp:inline>
                  <wp:extent cx="5943600" cy="5200650"/>
                  <wp:effectExtent b="0" l="0" r="0" t="0"/>
                  <wp:docPr descr="" title="" id="114" name="Picture"/>
                  <a:graphic>
                    <a:graphicData uri="http://schemas.openxmlformats.org/drawingml/2006/picture">
                      <pic:pic>
                        <pic:nvPicPr>
                          <pic:cNvPr descr="../figs/zonedst.jpg" id="115" name="Picture"/>
                          <pic:cNvPicPr>
                            <a:picLocks noChangeArrowheads="1" noChangeAspect="1"/>
                          </pic:cNvPicPr>
                        </pic:nvPicPr>
                        <pic:blipFill>
                          <a:blip r:embed="rId11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distance spanned by quadrats within each zone at each site from half-meter to 10 meter sampling. Each line is a unique zone. Point size shows the variance across the replicates for each level of sampling effort.</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varex"/>
          <w:p>
            <w:pPr>
              <w:pStyle w:val="Figure"/>
              <w:jc w:val="center"/>
            </w:pPr>
            <w:r>
              <w:drawing>
                <wp:inline>
                  <wp:extent cx="5943600" cy="5200650"/>
                  <wp:effectExtent b="0" l="0" r="0" t="0"/>
                  <wp:docPr descr="" title="" id="118" name="Picture"/>
                  <a:graphic>
                    <a:graphicData uri="http://schemas.openxmlformats.org/drawingml/2006/picture">
                      <pic:pic>
                        <pic:nvPicPr>
                          <pic:cNvPr descr="../figs/zonevarex.jpg" id="119" name="Picture"/>
                          <pic:cNvPicPr>
                            <a:picLocks noChangeArrowheads="1" noChangeAspect="1"/>
                          </pic:cNvPicPr>
                        </pic:nvPicPr>
                        <pic:blipFill>
                          <a:blip r:embed="rId11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An example of the variance of the distances spanned by quadrats across sub-sample replicates for each zone at the Big Bend - TECO site from half-meter to 10 meter sampling.</w:t>
            </w:r>
          </w:p>
          <w:bookmarkEnd w:id="120"/>
        </w:tc>
      </w:tr>
    </w:tbl>
    <w:p>
      <w:pPr>
        <w:pStyle w:val="BodyText"/>
      </w:pPr>
      <w:r>
        <w:t xml:space="preserve">Detailed results for the zone lengths estimated from distances spanned by quadrats at each site are shown in Figures</w:t>
      </w:r>
      <w:r>
        <w:t xml:space="preserve"> </w:t>
      </w:r>
      <w:hyperlink w:anchor="fig-zoneestbb">
        <w:r>
          <w:rPr>
            <w:rStyle w:val="Hyperlink"/>
          </w:rPr>
          <w:t xml:space="preserve">24</w:t>
        </w:r>
      </w:hyperlink>
      <w:r>
        <w:t xml:space="preserve">,</w:t>
      </w:r>
      <w:r>
        <w:t xml:space="preserve"> </w:t>
      </w:r>
      <w:hyperlink w:anchor="fig-zoneestcb">
        <w:r>
          <w:rPr>
            <w:rStyle w:val="Hyperlink"/>
          </w:rPr>
          <w:t xml:space="preserve">25</w:t>
        </w:r>
      </w:hyperlink>
      <w:r>
        <w:t xml:space="preserve">,</w:t>
      </w:r>
      <w:r>
        <w:t xml:space="preserve"> </w:t>
      </w:r>
      <w:hyperlink w:anchor="fig-zoneestfd">
        <w:r>
          <w:rPr>
            <w:rStyle w:val="Hyperlink"/>
          </w:rPr>
          <w:t xml:space="preserve">26</w:t>
        </w:r>
      </w:hyperlink>
      <w:r>
        <w:t xml:space="preserve">,</w:t>
      </w:r>
      <w:r>
        <w:t xml:space="preserve"> </w:t>
      </w:r>
      <w:hyperlink w:anchor="fig-zoneesthp">
        <w:r>
          <w:rPr>
            <w:rStyle w:val="Hyperlink"/>
          </w:rPr>
          <w:t xml:space="preserve">27</w:t>
        </w:r>
      </w:hyperlink>
      <w:r>
        <w:t xml:space="preserve">,</w:t>
      </w:r>
      <w:r>
        <w:t xml:space="preserve"> </w:t>
      </w:r>
      <w:hyperlink w:anchor="fig-zoneesthh">
        <w:r>
          <w:rPr>
            <w:rStyle w:val="Hyperlink"/>
          </w:rPr>
          <w:t xml:space="preserve">28</w:t>
        </w:r>
      </w:hyperlink>
      <w:r>
        <w:t xml:space="preserve">,</w:t>
      </w:r>
      <w:r>
        <w:t xml:space="preserve"> </w:t>
      </w:r>
      <w:hyperlink w:anchor="fig-zoneestlmr">
        <w:r>
          <w:rPr>
            <w:rStyle w:val="Hyperlink"/>
          </w:rPr>
          <w:t xml:space="preserve">29</w:t>
        </w:r>
      </w:hyperlink>
      <w:r>
        <w:t xml:space="preserve">,</w:t>
      </w:r>
      <w:r>
        <w:t xml:space="preserve"> </w:t>
      </w:r>
      <w:hyperlink w:anchor="fig-zoneestm">
        <w:r>
          <w:rPr>
            <w:rStyle w:val="Hyperlink"/>
          </w:rPr>
          <w:t xml:space="preserve">30</w:t>
        </w:r>
      </w:hyperlink>
      <w:r>
        <w:t xml:space="preserve">,</w:t>
      </w:r>
      <w:r>
        <w:t xml:space="preserve"> </w:t>
      </w:r>
      <w:hyperlink w:anchor="fig-zoneestutbp">
        <w:r>
          <w:rPr>
            <w:rStyle w:val="Hyperlink"/>
          </w:rPr>
          <w:t xml:space="preserve">31</w:t>
        </w:r>
      </w:hyperlink>
      <w:r>
        <w:t xml:space="preserve">, and</w:t>
      </w:r>
      <w:r>
        <w:t xml:space="preserve"> </w:t>
      </w:r>
      <w:hyperlink w:anchor="fig-zoneestwi">
        <w:r>
          <w:rPr>
            <w:rStyle w:val="Hyperlink"/>
          </w:rPr>
          <w:t xml:space="preserve">32</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Style w:val="Table"/>
        <w:tblW w:type="pct" w:w="5000"/>
        <w:tblLook w:firstRow="0" w:lastRow="0" w:firstColumn="0" w:lastColumn="0" w:noHBand="0" w:noVBand="0" w:val="0000"/>
      </w:tblPr>
      <w:tblGrid>
        <w:gridCol w:w="7920"/>
      </w:tblGrid>
      <w:tr>
        <w:tc>
          <w:tcPr/>
          <w:bookmarkStart w:id="124" w:name="fig-zoneestbb"/>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Big%20Bend%20-%20TECO.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Big Bend - Teco at 1 meter to 10 meter sampling for the distances spanned by the quadrats.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cb"/>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Cockroach%20Bay.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Cockroach Bay at 1 meter to 10 meter sampling for the distances spanned by the quadrats.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fd"/>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Fort%20DeSoto.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Fort DeSoto at 1 meter to 10 meter sampling for the distances spanned by the quadrats. The colored regions indicate the zone delineations at half-meter sampling.</w:t>
            </w:r>
          </w:p>
          <w:bookmarkEnd w:id="1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6" w:name="fig-zoneesthp"/>
          <w:p>
            <w:pPr>
              <w:pStyle w:val="Figure"/>
              <w:jc w:val="center"/>
            </w:pPr>
            <w:r>
              <w:drawing>
                <wp:inline>
                  <wp:extent cx="5943600" cy="2971800"/>
                  <wp:effectExtent b="0" l="0" r="0" t="0"/>
                  <wp:docPr descr="" title="" id="134" name="Picture"/>
                  <a:graphic>
                    <a:graphicData uri="http://schemas.openxmlformats.org/drawingml/2006/picture">
                      <pic:pic>
                        <pic:nvPicPr>
                          <pic:cNvPr descr="../figs/zoneest_Harbor%20Palms.jpg" id="135"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Estimates and variance of the estimates in the zone starting locations at Harbor Palms at 1 meter to 10 meter sampling for the distances spanned by the quadrats. The colored regions indicate the zone delineations at half-meter sampling.</w:t>
            </w:r>
          </w:p>
          <w:bookmarkEnd w:id="1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0" w:name="fig-zoneesthh"/>
          <w:p>
            <w:pPr>
              <w:pStyle w:val="Figure"/>
              <w:jc w:val="center"/>
            </w:pPr>
            <w:r>
              <w:drawing>
                <wp:inline>
                  <wp:extent cx="5943600" cy="2971800"/>
                  <wp:effectExtent b="0" l="0" r="0" t="0"/>
                  <wp:docPr descr="" title="" id="138" name="Picture"/>
                  <a:graphic>
                    <a:graphicData uri="http://schemas.openxmlformats.org/drawingml/2006/picture">
                      <pic:pic>
                        <pic:nvPicPr>
                          <pic:cNvPr descr="../figs/zoneest_Hidden%20Harbor.jpg" id="139"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Estimates and variance of the estimates in the zone starting locations at Hidden Harbor at 1 meter to 10 meter sampling for the distances spanned by the quadrats. The colored regions indicate the zone delineations at half-meter sampling.</w:t>
            </w:r>
          </w:p>
          <w:bookmarkEnd w:id="1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4" w:name="fig-zoneestlmr"/>
          <w:p>
            <w:pPr>
              <w:pStyle w:val="Figure"/>
              <w:jc w:val="center"/>
            </w:pPr>
            <w:r>
              <w:drawing>
                <wp:inline>
                  <wp:extent cx="5943600" cy="2971800"/>
                  <wp:effectExtent b="0" l="0" r="0" t="0"/>
                  <wp:docPr descr="" title="" id="142" name="Picture"/>
                  <a:graphic>
                    <a:graphicData uri="http://schemas.openxmlformats.org/drawingml/2006/picture">
                      <pic:pic>
                        <pic:nvPicPr>
                          <pic:cNvPr descr="../figs/zoneest_Little%20Manatee%20River.jpg" id="143" name="Picture"/>
                          <pic:cNvPicPr>
                            <a:picLocks noChangeArrowheads="1" noChangeAspect="1"/>
                          </pic:cNvPicPr>
                        </pic:nvPicPr>
                        <pic:blipFill>
                          <a:blip r:embed="rId14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Estimates and variance of the estimates in the zone starting locations at Little Manatee River at 1 meter to 10 meter sampling for the distances spanned by the quadrats. The colored regions indicate the zone delineations at half-meter sampling.</w:t>
            </w:r>
          </w:p>
          <w:bookmarkEnd w:id="1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8" w:name="fig-zoneestm"/>
          <w:p>
            <w:pPr>
              <w:pStyle w:val="Figure"/>
              <w:jc w:val="center"/>
            </w:pPr>
            <w:r>
              <w:drawing>
                <wp:inline>
                  <wp:extent cx="5943600" cy="2971800"/>
                  <wp:effectExtent b="0" l="0" r="0" t="0"/>
                  <wp:docPr descr="" title="" id="146" name="Picture"/>
                  <a:graphic>
                    <a:graphicData uri="http://schemas.openxmlformats.org/drawingml/2006/picture">
                      <pic:pic>
                        <pic:nvPicPr>
                          <pic:cNvPr descr="../figs/zoneest_Mosaic.jpg" id="147" name="Picture"/>
                          <pic:cNvPicPr>
                            <a:picLocks noChangeArrowheads="1" noChangeAspect="1"/>
                          </pic:cNvPicPr>
                        </pic:nvPicPr>
                        <pic:blipFill>
                          <a:blip r:embed="rId14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Estimates and variance of the estimates in the zone starting locations at Mosaic at 1 meter to 10 meter sampling for the distances spanned by the quadrats. The colored regions indicate the zone delineations at half-meter sampling.</w:t>
            </w:r>
          </w:p>
          <w:bookmarkEnd w:id="1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2" w:name="fig-zoneestutbp"/>
          <w:p>
            <w:pPr>
              <w:pStyle w:val="Figure"/>
              <w:jc w:val="center"/>
            </w:pPr>
            <w:r>
              <w:drawing>
                <wp:inline>
                  <wp:extent cx="5943600" cy="2971800"/>
                  <wp:effectExtent b="0" l="0" r="0" t="0"/>
                  <wp:docPr descr="" title="" id="150" name="Picture"/>
                  <a:graphic>
                    <a:graphicData uri="http://schemas.openxmlformats.org/drawingml/2006/picture">
                      <pic:pic>
                        <pic:nvPicPr>
                          <pic:cNvPr descr="../figs/zoneest_Upper%20Tampa%20Bay%20Park.jpg" id="151" name="Picture"/>
                          <pic:cNvPicPr>
                            <a:picLocks noChangeArrowheads="1" noChangeAspect="1"/>
                          </pic:cNvPicPr>
                        </pic:nvPicPr>
                        <pic:blipFill>
                          <a:blip r:embed="rId14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Estimates and variance of the estimates in the zone starting locations at Upper Tampa Bay Park at 1 meter to 10 meter sampling for the distances spanned by the quadrats. The colored regions indicate the zone delineations at half-meter sampling.</w:t>
            </w:r>
          </w:p>
          <w:bookmarkEnd w:id="1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6" w:name="fig-zoneestwi"/>
          <w:p>
            <w:pPr>
              <w:pStyle w:val="Figure"/>
              <w:jc w:val="center"/>
            </w:pPr>
            <w:r>
              <w:drawing>
                <wp:inline>
                  <wp:extent cx="5943600" cy="2971800"/>
                  <wp:effectExtent b="0" l="0" r="0" t="0"/>
                  <wp:docPr descr="" title="" id="154" name="Picture"/>
                  <a:graphic>
                    <a:graphicData uri="http://schemas.openxmlformats.org/drawingml/2006/picture">
                      <pic:pic>
                        <pic:nvPicPr>
                          <pic:cNvPr descr="../figs/zoneest_Weedon%20Island.jpg" id="155" name="Picture"/>
                          <pic:cNvPicPr>
                            <a:picLocks noChangeArrowheads="1" noChangeAspect="1"/>
                          </pic:cNvPicPr>
                        </pic:nvPicPr>
                        <pic:blipFill>
                          <a:blip r:embed="rId15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Estimates and variance of the estimates in the zone starting locations at Weedon Island at 1 meter to 10 meter sampling for the distances spanned by the quadrats. The colored regions indicate the zone delineations at half-meter sampling.</w:t>
            </w:r>
          </w:p>
          <w:bookmarkEnd w:id="156"/>
        </w:tc>
      </w:tr>
    </w:tbl>
    <w:bookmarkEnd w:id="157"/>
    <w:bookmarkEnd w:id="158"/>
    <w:bookmarkStart w:id="160"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and more frequent inundation at lower elevations closer to the shoreline, black mangroves are intermediate, and white mangroves prefer mesohaline conditions (5-18 ppt) and less frequent inundation at higher elevations</w:t>
      </w:r>
      <w:r>
        <w:t xml:space="preserve"> </w:t>
      </w:r>
      <w:r>
        <w:t xml:space="preserve">(Odum and McIvor, 1990)</w:t>
      </w:r>
      <w:r>
        <w:t xml:space="preserve">. Some sites showed red mangroves at higher elevations than black and white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w:t>
      </w:r>
      <w:r>
        <w:t xml:space="preserve"> </w:t>
      </w:r>
      <w:hyperlink w:anchor="fig-foperelevex">
        <w:r>
          <w:rPr>
            <w:rStyle w:val="Hyperlink"/>
          </w:rPr>
          <w:t xml:space="preserve">19</w:t>
        </w:r>
      </w:hyperlink>
      <w:r>
        <w:t xml:space="preserve"> </w:t>
      </w:r>
      <w:r>
        <w:t xml:space="preserve">and</w:t>
      </w:r>
      <w:r>
        <w:t xml:space="preserve"> </w:t>
      </w:r>
      <w:hyperlink w:anchor="fig-fovarelevex">
        <w:r>
          <w:rPr>
            <w:rStyle w:val="Hyperlink"/>
          </w:rPr>
          <w:t xml:space="preserve">20</w:t>
        </w:r>
      </w:hyperlink>
      <w:r>
        <w:t xml:space="preserve">).</w:t>
      </w:r>
    </w:p>
    <w:p>
      <w:pPr>
        <w:pStyle w:val="BodyText"/>
      </w:pPr>
      <w:r>
        <w:t xml:space="preserve">Tracking changes in vegetation zones and their relative sizes is an additional component of CCHA sampling that is expected to shift with sea-level rise and temperature changes. One quadrat will still be present within each zone at reduced sampling effort, so long as the sample interval is less than the length of the smallest zone at a site. The precision of the distance spanned by quadrats in each zone decreases with reductions in sampling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 Consistent zone names between sites could also be chosen</w:t>
      </w:r>
      <w:r>
        <w:t xml:space="preserve"> </w:t>
      </w:r>
      <w:r>
        <w:rPr>
          <w:iCs/>
          <w:i/>
        </w:rPr>
        <w:t xml:space="preserve">a priori</w:t>
      </w:r>
      <w:r>
        <w:t xml:space="preserve"> </w:t>
      </w:r>
      <w:r>
        <w:t xml:space="preserve">or identified objectively through a multivariate assessment of the vegetation communities. Consistent naming could facilitate a comparison of zones between sites, whereas the assessments herein only evaluated zone changes within each site due to naming differences.</w:t>
      </w:r>
    </w:p>
    <w:p>
      <w:pPr>
        <w:pStyle w:val="BodyText"/>
      </w:pPr>
      <w:r>
        <w:t xml:space="preserve">Overall, placing quadrats at 1 m intervals instead of 0.5 m intervals will result in a 50% reduction in sampling effort without compromising the ability to track long-term changes in vegetation communities in the CCHA. Any additional proposed changes to the CCHA methods should be supported through quantitative analyses and vetted through appropriate advisory committees. The results herein were vetted through the TBEP Technical Advisory Committee in October 2022 (meeting materials can be viewed</w:t>
      </w:r>
      <w:r>
        <w:t xml:space="preserve"> </w:t>
      </w:r>
      <w:hyperlink r:id="rId159">
        <w:r>
          <w:rPr>
            <w:rStyle w:val="Hyperlink"/>
          </w:rPr>
          <w:t xml:space="preserve">here</w:t>
        </w:r>
      </w:hyperlink>
      <w:r>
        <w:t xml:space="preserve">) and appropriate changes were made to the EPA-approved Quality Assurance Project Plan</w:t>
      </w:r>
      <w:r>
        <w:t xml:space="preserve"> </w:t>
      </w:r>
      <w:r>
        <w:t xml:space="preserve">(QAPP, Flaherty-Walia, K. E. and Radabaugh, K. R., 2022)</w:t>
      </w:r>
      <w:r>
        <w:t xml:space="preserve">. Additional changes in the QAPP not described here, but accepted by the TAC, included modification of the tree survey design using methods more appropriate for the CCHA habitats.</w:t>
      </w:r>
    </w:p>
    <w:p>
      <w:r>
        <w:br w:type="page"/>
      </w:r>
    </w:p>
    <w:bookmarkEnd w:id="160"/>
    <w:bookmarkStart w:id="202" w:name="references"/>
    <w:p>
      <w:pPr>
        <w:pStyle w:val="Heading2"/>
      </w:pPr>
      <w:r>
        <w:t xml:space="preserve">References</w:t>
      </w:r>
    </w:p>
    <w:bookmarkStart w:id="201" w:name="refs"/>
    <w:bookmarkStart w:id="162"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61">
        <w:r>
          <w:rPr>
            <w:rStyle w:val="Hyperlink"/>
          </w:rPr>
          <w:t xml:space="preserve">https://drive.google.com/file/d/1c_KTSJ4TgVX9IugnyDadr2Hc0gjAuQg2/view?usp=drivesdk</w:t>
        </w:r>
      </w:hyperlink>
      <w:r>
        <w:t xml:space="preserve">.</w:t>
      </w:r>
    </w:p>
    <w:bookmarkEnd w:id="162"/>
    <w:bookmarkStart w:id="164"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63">
        <w:r>
          <w:rPr>
            <w:rStyle w:val="Hyperlink"/>
          </w:rPr>
          <w:t xml:space="preserve">https://doi.org/10.1073/pnas.1902181116</w:t>
        </w:r>
      </w:hyperlink>
      <w:r>
        <w:t xml:space="preserve">.</w:t>
      </w:r>
    </w:p>
    <w:bookmarkEnd w:id="164"/>
    <w:bookmarkStart w:id="166"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65">
        <w:r>
          <w:rPr>
            <w:rStyle w:val="Hyperlink"/>
          </w:rPr>
          <w:t xml:space="preserve">https://doi.org/10.1016/j.ecss.2011.10.003</w:t>
        </w:r>
      </w:hyperlink>
      <w:r>
        <w:t xml:space="preserve">.</w:t>
      </w:r>
    </w:p>
    <w:bookmarkEnd w:id="166"/>
    <w:bookmarkStart w:id="168"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67">
        <w:r>
          <w:rPr>
            <w:rStyle w:val="Hyperlink"/>
          </w:rPr>
          <w:t xml:space="preserve">10.2307/1930167</w:t>
        </w:r>
      </w:hyperlink>
      <w:r>
        <w:t xml:space="preserve">.</w:t>
      </w:r>
    </w:p>
    <w:bookmarkEnd w:id="168"/>
    <w:bookmarkStart w:id="170"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69">
        <w:r>
          <w:rPr>
            <w:rStyle w:val="Hyperlink"/>
          </w:rPr>
          <w:t xml:space="preserve">10.1038/nclimate1970</w:t>
        </w:r>
      </w:hyperlink>
      <w:r>
        <w:t xml:space="preserve">.</w:t>
      </w:r>
    </w:p>
    <w:bookmarkEnd w:id="170"/>
    <w:bookmarkStart w:id="171" w:name="ref-tbep1122"/>
    <w:p>
      <w:pPr>
        <w:pStyle w:val="Bibliography"/>
      </w:pPr>
      <w:r>
        <w:t xml:space="preserve">Flaherty-Walia, K. E. and Radabaugh, K. R. (2022).</w:t>
      </w:r>
      <w:r>
        <w:t xml:space="preserve"> </w:t>
      </w:r>
      <w:r>
        <w:t xml:space="preserve">Critical Coastal Habitat Assessment: Quality Assurance Project Plan</w:t>
      </w:r>
      <w:r>
        <w:t xml:space="preserve">. St. Petersburg, Florida: Tampa Bay Estuary Program.</w:t>
      </w:r>
    </w:p>
    <w:bookmarkEnd w:id="171"/>
    <w:bookmarkStart w:id="173"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72">
        <w:r>
          <w:rPr>
            <w:rStyle w:val="Hyperlink"/>
          </w:rPr>
          <w:t xml:space="preserve">10.1016/j.ocecoaman.2016.09.009</w:t>
        </w:r>
      </w:hyperlink>
      <w:r>
        <w:t xml:space="preserve">.</w:t>
      </w:r>
    </w:p>
    <w:bookmarkEnd w:id="173"/>
    <w:bookmarkStart w:id="175"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74">
        <w:r>
          <w:rPr>
            <w:rStyle w:val="Hyperlink"/>
          </w:rPr>
          <w:t xml:space="preserve">10.1007/s12237-020-00830-0</w:t>
        </w:r>
      </w:hyperlink>
      <w:r>
        <w:t xml:space="preserve">.</w:t>
      </w:r>
    </w:p>
    <w:bookmarkEnd w:id="175"/>
    <w:bookmarkStart w:id="177"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76">
        <w:r>
          <w:rPr>
            <w:rStyle w:val="Hyperlink"/>
          </w:rPr>
          <w:t xml:space="preserve">10.1577/1548-8446(1990)015&lt;0016:aeocco&gt;2.0.co;2</w:t>
        </w:r>
      </w:hyperlink>
      <w:r>
        <w:t xml:space="preserve">.</w:t>
      </w:r>
    </w:p>
    <w:bookmarkEnd w:id="177"/>
    <w:bookmarkStart w:id="179" w:name="ref-miller2000"/>
    <w:p>
      <w:pPr>
        <w:pStyle w:val="Bibliography"/>
      </w:pPr>
      <w:r>
        <w:t xml:space="preserve">Miller, A., and Ambrose, R. (2000). Sampling patchy distributions: 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78">
        <w:r>
          <w:rPr>
            <w:rStyle w:val="Hyperlink"/>
          </w:rPr>
          <w:t xml:space="preserve">10.3354/meps196001</w:t>
        </w:r>
      </w:hyperlink>
      <w:r>
        <w:t xml:space="preserve">.</w:t>
      </w:r>
    </w:p>
    <w:bookmarkEnd w:id="179"/>
    <w:bookmarkStart w:id="181"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80">
        <w:r>
          <w:rPr>
            <w:rStyle w:val="Hyperlink"/>
          </w:rPr>
          <w:t xml:space="preserve">https://drive.google.com/file/d/1bDZ0JmuD2_1RM6VkSrsAR3g8bciQaf3F/view?usp=drivesdk</w:t>
        </w:r>
      </w:hyperlink>
      <w:r>
        <w:t xml:space="preserve">.</w:t>
      </w:r>
    </w:p>
    <w:bookmarkEnd w:id="181"/>
    <w:bookmarkStart w:id="182"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82"/>
    <w:bookmarkStart w:id="184"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83">
        <w:r>
          <w:rPr>
            <w:rStyle w:val="Hyperlink"/>
          </w:rPr>
          <w:t xml:space="preserve">10.1111/gcb.16111</w:t>
        </w:r>
      </w:hyperlink>
      <w:r>
        <w:t xml:space="preserve">.</w:t>
      </w:r>
    </w:p>
    <w:bookmarkEnd w:id="184"/>
    <w:bookmarkStart w:id="186"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85">
        <w:r>
          <w:rPr>
            <w:rStyle w:val="Hyperlink"/>
          </w:rPr>
          <w:t xml:space="preserve">https://drive.google.com/file/d/122AvajD3fxOVORHfO5HQUMdXkLNoQm48/view?usp=drivesdk</w:t>
        </w:r>
      </w:hyperlink>
      <w:r>
        <w:t xml:space="preserve">.</w:t>
      </w:r>
    </w:p>
    <w:bookmarkEnd w:id="186"/>
    <w:bookmarkStart w:id="188"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87">
        <w:r>
          <w:rPr>
            <w:rStyle w:val="Hyperlink"/>
          </w:rPr>
          <w:t xml:space="preserve">https://www.R-project.org/</w:t>
        </w:r>
      </w:hyperlink>
      <w:r>
        <w:t xml:space="preserve">.</w:t>
      </w:r>
    </w:p>
    <w:bookmarkEnd w:id="188"/>
    <w:bookmarkStart w:id="190"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89">
        <w:r>
          <w:rPr>
            <w:rStyle w:val="Hyperlink"/>
          </w:rPr>
          <w:t xml:space="preserve">https://drive.google.com/file/d/1Hp0l_qtbxp1JxKJoGatdyuANSzQrpL0I/view?usp=drivesdk</w:t>
        </w:r>
      </w:hyperlink>
      <w:r>
        <w:t xml:space="preserve">.</w:t>
      </w:r>
    </w:p>
    <w:bookmarkEnd w:id="190"/>
    <w:bookmarkStart w:id="192"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91">
        <w:r>
          <w:rPr>
            <w:rStyle w:val="Hyperlink"/>
          </w:rPr>
          <w:t xml:space="preserve">https://drive.google.com/file/d/11tu2-0y7wdAHsdvMYE8bNb68mgvcpWbK/view?usp=drivesdk</w:t>
        </w:r>
      </w:hyperlink>
      <w:r>
        <w:t xml:space="preserve">.</w:t>
      </w:r>
    </w:p>
    <w:bookmarkEnd w:id="192"/>
    <w:bookmarkStart w:id="194"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93">
        <w:r>
          <w:rPr>
            <w:rStyle w:val="Hyperlink"/>
          </w:rPr>
          <w:t xml:space="preserve">10.1007/s00267-013-0179-5</w:t>
        </w:r>
      </w:hyperlink>
      <w:r>
        <w:t xml:space="preserve">.</w:t>
      </w:r>
    </w:p>
    <w:bookmarkEnd w:id="194"/>
    <w:bookmarkStart w:id="196"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95">
        <w:r>
          <w:rPr>
            <w:rStyle w:val="Hyperlink"/>
          </w:rPr>
          <w:t xml:space="preserve">10.1016/j.ocecoaman.2013.09.007</w:t>
        </w:r>
      </w:hyperlink>
      <w:r>
        <w:t xml:space="preserve">.</w:t>
      </w:r>
    </w:p>
    <w:bookmarkEnd w:id="196"/>
    <w:bookmarkStart w:id="198"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97">
        <w:r>
          <w:rPr>
            <w:rStyle w:val="Hyperlink"/>
          </w:rPr>
          <w:t xml:space="preserve">10.1016/j.tourman.2018.03.024</w:t>
        </w:r>
      </w:hyperlink>
      <w:r>
        <w:t xml:space="preserve">.</w:t>
      </w:r>
    </w:p>
    <w:bookmarkEnd w:id="198"/>
    <w:bookmarkStart w:id="200"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99">
        <w:r>
          <w:rPr>
            <w:rStyle w:val="Hyperlink"/>
          </w:rPr>
          <w:t xml:space="preserve">10.1007/s13131-019-1352-3</w:t>
        </w:r>
      </w:hyperlink>
      <w:r>
        <w:t xml:space="preserve">.</w:t>
      </w:r>
    </w:p>
    <w:bookmarkEnd w:id="200"/>
    <w:bookmarkEnd w:id="201"/>
    <w:bookmarkEnd w:id="202"/>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17" Target="media/rId117.jpg" /><Relationship Type="http://schemas.openxmlformats.org/officeDocument/2006/relationships/hyperlink" Id="rId193" Target="https://doi.org/10.1007/s00267-013-0179-5" TargetMode="External" /><Relationship Type="http://schemas.openxmlformats.org/officeDocument/2006/relationships/hyperlink" Id="rId174" Target="https://doi.org/10.1007/s12237-020-00830-0" TargetMode="External" /><Relationship Type="http://schemas.openxmlformats.org/officeDocument/2006/relationships/hyperlink" Id="rId199"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5" Target="https://doi.org/10.1016/j.ocecoaman.2013.09.007" TargetMode="External" /><Relationship Type="http://schemas.openxmlformats.org/officeDocument/2006/relationships/hyperlink" Id="rId172" Target="https://doi.org/10.1016/j.ocecoaman.2016.09.009" TargetMode="External" /><Relationship Type="http://schemas.openxmlformats.org/officeDocument/2006/relationships/hyperlink" Id="rId197"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3" Target="https://doi.org/10.1111/gcb.16111" TargetMode="External" /><Relationship Type="http://schemas.openxmlformats.org/officeDocument/2006/relationships/hyperlink" Id="rId176"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8"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1" Target="https://drive.google.com/file/d/11tu2-0y7wdAHsdvMYE8bNb68mgvcpWbK/view?usp=drivesdk" TargetMode="External" /><Relationship Type="http://schemas.openxmlformats.org/officeDocument/2006/relationships/hyperlink" Id="rId185" Target="https://drive.google.com/file/d/122AvajD3fxOVORHfO5HQUMdXkLNoQm48/view?usp=drivesdk" TargetMode="External" /><Relationship Type="http://schemas.openxmlformats.org/officeDocument/2006/relationships/hyperlink" Id="rId189" Target="https://drive.google.com/file/d/1Hp0l_qtbxp1JxKJoGatdyuANSzQrpL0I/view?usp=drivesdk" TargetMode="External" /><Relationship Type="http://schemas.openxmlformats.org/officeDocument/2006/relationships/hyperlink" Id="rId180"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93" Target="https://doi.org/10.1007/s00267-013-0179-5" TargetMode="External" /><Relationship Type="http://schemas.openxmlformats.org/officeDocument/2006/relationships/hyperlink" Id="rId174" Target="https://doi.org/10.1007/s12237-020-00830-0" TargetMode="External" /><Relationship Type="http://schemas.openxmlformats.org/officeDocument/2006/relationships/hyperlink" Id="rId199"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5" Target="https://doi.org/10.1016/j.ocecoaman.2013.09.007" TargetMode="External" /><Relationship Type="http://schemas.openxmlformats.org/officeDocument/2006/relationships/hyperlink" Id="rId172" Target="https://doi.org/10.1016/j.ocecoaman.2016.09.009" TargetMode="External" /><Relationship Type="http://schemas.openxmlformats.org/officeDocument/2006/relationships/hyperlink" Id="rId197"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3" Target="https://doi.org/10.1111/gcb.16111" TargetMode="External" /><Relationship Type="http://schemas.openxmlformats.org/officeDocument/2006/relationships/hyperlink" Id="rId176"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8"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1" Target="https://drive.google.com/file/d/11tu2-0y7wdAHsdvMYE8bNb68mgvcpWbK/view?usp=drivesdk" TargetMode="External" /><Relationship Type="http://schemas.openxmlformats.org/officeDocument/2006/relationships/hyperlink" Id="rId185" Target="https://drive.google.com/file/d/122AvajD3fxOVORHfO5HQUMdXkLNoQm48/view?usp=drivesdk" TargetMode="External" /><Relationship Type="http://schemas.openxmlformats.org/officeDocument/2006/relationships/hyperlink" Id="rId189" Target="https://drive.google.com/file/d/1Hp0l_qtbxp1JxKJoGatdyuANSzQrpL0I/view?usp=drivesdk" TargetMode="External" /><Relationship Type="http://schemas.openxmlformats.org/officeDocument/2006/relationships/hyperlink" Id="rId180"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2022-12-01T13:03:06Z</dcterms:created>
  <dcterms:modified xsi:type="dcterms:W3CDTF">2022-12-01T13:03:06Z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editor">
    <vt:lpwstr>source</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auto</vt:lpwstr>
  </property>
  <property fmtid="{D5CDD505-2E9C-101B-9397-08002B2CF9AE}" pid="14" name="toc-title">
    <vt:lpwstr>Table of contents</vt:lpwstr>
  </property>
  <property fmtid="{D5CDD505-2E9C-101B-9397-08002B2CF9AE}" pid="15" name="website">
    <vt:lpwstr/>
  </property>
</Properties>
</file>